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B1" w:rsidRPr="00C062B1" w:rsidRDefault="00C062B1" w:rsidP="00C062B1">
      <w:pPr>
        <w:rPr>
          <w:u w:val="single"/>
        </w:rPr>
      </w:pPr>
      <w:r>
        <w:rPr>
          <w:u w:val="single"/>
        </w:rPr>
        <w:t>Annexe 2</w:t>
      </w:r>
      <w:r w:rsidRPr="00ED143A">
        <w:rPr>
          <w:u w:val="single"/>
        </w:rPr>
        <w:t> :</w:t>
      </w:r>
    </w:p>
    <w:tbl>
      <w:tblPr>
        <w:tblStyle w:val="Grilledutableau"/>
        <w:tblpPr w:leftFromText="141" w:rightFromText="141" w:vertAnchor="page" w:horzAnchor="margin" w:tblpY="2325"/>
        <w:tblW w:w="0" w:type="auto"/>
        <w:tblLook w:val="04A0"/>
      </w:tblPr>
      <w:tblGrid>
        <w:gridCol w:w="1352"/>
        <w:gridCol w:w="1211"/>
        <w:gridCol w:w="1326"/>
        <w:gridCol w:w="1326"/>
        <w:gridCol w:w="1571"/>
        <w:gridCol w:w="1225"/>
        <w:gridCol w:w="1277"/>
      </w:tblGrid>
      <w:tr w:rsidR="00C062B1" w:rsidTr="00076941"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2B1" w:rsidRDefault="00C062B1" w:rsidP="00076941">
            <w:pPr>
              <w:tabs>
                <w:tab w:val="left" w:pos="5556"/>
              </w:tabs>
            </w:pP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92D050"/>
          </w:tcPr>
          <w:p w:rsidR="00C062B1" w:rsidRPr="00F7776F" w:rsidRDefault="00C062B1" w:rsidP="00076941">
            <w:pPr>
              <w:jc w:val="center"/>
              <w:rPr>
                <w:rFonts w:ascii="Comic Sans MS" w:hAnsi="Comic Sans MS"/>
                <w:b/>
                <w:bCs/>
                <w:sz w:val="16"/>
                <w:szCs w:val="32"/>
              </w:rPr>
            </w:pPr>
            <w:r w:rsidRPr="00F7776F">
              <w:rPr>
                <w:rFonts w:ascii="Comic Sans MS" w:hAnsi="Comic Sans MS"/>
                <w:b/>
                <w:bCs/>
                <w:color w:val="000000"/>
                <w:sz w:val="16"/>
                <w:szCs w:val="32"/>
              </w:rPr>
              <w:t>Négligeable</w:t>
            </w:r>
            <w:r>
              <w:rPr>
                <w:rFonts w:ascii="Comic Sans MS" w:hAnsi="Comic Sans MS"/>
                <w:b/>
                <w:bCs/>
                <w:sz w:val="16"/>
                <w:szCs w:val="32"/>
              </w:rPr>
              <w:t xml:space="preserve"> </w:t>
            </w:r>
            <w:r w:rsidRPr="00F7776F">
              <w:rPr>
                <w:rFonts w:ascii="Comic Sans MS" w:hAnsi="Comic Sans MS"/>
                <w:b/>
                <w:bCs/>
                <w:i/>
                <w:iCs/>
                <w:color w:val="000000"/>
                <w:sz w:val="16"/>
                <w:szCs w:val="32"/>
              </w:rPr>
              <w:t>Mineure</w:t>
            </w:r>
          </w:p>
        </w:tc>
        <w:tc>
          <w:tcPr>
            <w:tcW w:w="1423" w:type="dxa"/>
            <w:shd w:val="clear" w:color="auto" w:fill="92D050"/>
          </w:tcPr>
          <w:p w:rsidR="00C062B1" w:rsidRPr="00F7776F" w:rsidRDefault="00C062B1" w:rsidP="00076941">
            <w:pPr>
              <w:jc w:val="center"/>
              <w:rPr>
                <w:rFonts w:ascii="Comic Sans MS" w:hAnsi="Comic Sans MS"/>
                <w:b/>
                <w:bCs/>
                <w:sz w:val="14"/>
                <w:szCs w:val="16"/>
              </w:rPr>
            </w:pPr>
            <w:r w:rsidRPr="00F7776F">
              <w:rPr>
                <w:rFonts w:ascii="Comic Sans MS" w:hAnsi="Comic Sans MS"/>
                <w:b/>
                <w:bCs/>
                <w:color w:val="000000"/>
                <w:sz w:val="14"/>
                <w:szCs w:val="16"/>
              </w:rPr>
              <w:t>Significatif</w:t>
            </w:r>
            <w:r>
              <w:rPr>
                <w:rFonts w:ascii="Comic Sans MS" w:hAnsi="Comic Sans MS"/>
                <w:b/>
                <w:bCs/>
                <w:sz w:val="14"/>
                <w:szCs w:val="16"/>
              </w:rPr>
              <w:t xml:space="preserve"> </w:t>
            </w:r>
            <w:r w:rsidRPr="00F7776F">
              <w:rPr>
                <w:rFonts w:ascii="Comic Sans MS" w:hAnsi="Comic Sans MS"/>
                <w:b/>
                <w:bCs/>
                <w:i/>
                <w:iCs/>
                <w:color w:val="000000"/>
                <w:sz w:val="14"/>
                <w:szCs w:val="16"/>
              </w:rPr>
              <w:t>Significative</w:t>
            </w:r>
          </w:p>
        </w:tc>
        <w:tc>
          <w:tcPr>
            <w:tcW w:w="1423" w:type="dxa"/>
            <w:shd w:val="clear" w:color="auto" w:fill="FABF8F" w:themeFill="accent6" w:themeFillTint="99"/>
            <w:vAlign w:val="center"/>
          </w:tcPr>
          <w:p w:rsidR="00C062B1" w:rsidRPr="00F7776F" w:rsidRDefault="00C062B1" w:rsidP="00076941">
            <w:pPr>
              <w:jc w:val="center"/>
              <w:rPr>
                <w:rFonts w:ascii="Comic Sans MS" w:hAnsi="Comic Sans MS"/>
                <w:b/>
                <w:bCs/>
                <w:color w:val="000000"/>
                <w:sz w:val="14"/>
                <w:szCs w:val="32"/>
              </w:rPr>
            </w:pPr>
            <w:r w:rsidRPr="00F7776F">
              <w:rPr>
                <w:rFonts w:ascii="Comic Sans MS" w:hAnsi="Comic Sans MS"/>
                <w:b/>
                <w:bCs/>
                <w:color w:val="000000"/>
                <w:sz w:val="14"/>
                <w:szCs w:val="32"/>
              </w:rPr>
              <w:t>Très significatif</w:t>
            </w:r>
            <w:r>
              <w:rPr>
                <w:rFonts w:ascii="Comic Sans MS" w:hAnsi="Comic Sans MS"/>
                <w:b/>
                <w:bCs/>
                <w:sz w:val="14"/>
                <w:szCs w:val="32"/>
              </w:rPr>
              <w:t xml:space="preserve"> </w:t>
            </w:r>
            <w:r w:rsidRPr="00F7776F">
              <w:rPr>
                <w:rFonts w:ascii="Comic Sans MS" w:hAnsi="Comic Sans MS"/>
                <w:b/>
                <w:bCs/>
                <w:i/>
                <w:iCs/>
                <w:color w:val="000000"/>
                <w:sz w:val="14"/>
                <w:szCs w:val="32"/>
              </w:rPr>
              <w:t>Sérieux</w:t>
            </w:r>
          </w:p>
        </w:tc>
        <w:tc>
          <w:tcPr>
            <w:tcW w:w="1690" w:type="dxa"/>
            <w:shd w:val="clear" w:color="auto" w:fill="FABF8F" w:themeFill="accent6" w:themeFillTint="99"/>
            <w:vAlign w:val="center"/>
          </w:tcPr>
          <w:p w:rsidR="00C062B1" w:rsidRPr="00F7776F" w:rsidRDefault="00C062B1" w:rsidP="00076941">
            <w:pPr>
              <w:jc w:val="center"/>
              <w:rPr>
                <w:rFonts w:ascii="Comic Sans MS" w:hAnsi="Comic Sans MS"/>
                <w:b/>
                <w:bCs/>
                <w:color w:val="000000"/>
                <w:sz w:val="14"/>
                <w:szCs w:val="32"/>
              </w:rPr>
            </w:pPr>
            <w:r w:rsidRPr="00F7776F">
              <w:rPr>
                <w:rFonts w:ascii="Comic Sans MS" w:hAnsi="Comic Sans MS"/>
                <w:b/>
                <w:bCs/>
                <w:color w:val="000000"/>
                <w:sz w:val="14"/>
                <w:szCs w:val="32"/>
              </w:rPr>
              <w:t>Sérieux</w:t>
            </w:r>
            <w:r>
              <w:rPr>
                <w:rFonts w:ascii="Comic Sans MS" w:hAnsi="Comic Sans MS"/>
                <w:b/>
                <w:bCs/>
                <w:sz w:val="14"/>
                <w:szCs w:val="32"/>
              </w:rPr>
              <w:t xml:space="preserve">     </w:t>
            </w:r>
            <w:r w:rsidRPr="00F7776F">
              <w:rPr>
                <w:rFonts w:ascii="Comic Sans MS" w:hAnsi="Comic Sans MS"/>
                <w:b/>
                <w:bCs/>
                <w:i/>
                <w:iCs/>
                <w:color w:val="000000"/>
                <w:sz w:val="14"/>
                <w:szCs w:val="32"/>
              </w:rPr>
              <w:t>Grave</w:t>
            </w:r>
          </w:p>
        </w:tc>
        <w:tc>
          <w:tcPr>
            <w:tcW w:w="1313" w:type="dxa"/>
            <w:shd w:val="clear" w:color="auto" w:fill="FF0000"/>
            <w:vAlign w:val="center"/>
          </w:tcPr>
          <w:p w:rsidR="00C062B1" w:rsidRPr="00F7776F" w:rsidRDefault="00C062B1" w:rsidP="00076941">
            <w:pPr>
              <w:jc w:val="center"/>
              <w:rPr>
                <w:rFonts w:ascii="Comic Sans MS" w:hAnsi="Comic Sans MS"/>
                <w:b/>
                <w:bCs/>
                <w:color w:val="000000"/>
                <w:sz w:val="14"/>
                <w:szCs w:val="32"/>
              </w:rPr>
            </w:pPr>
            <w:r w:rsidRPr="00F7776F">
              <w:rPr>
                <w:rFonts w:ascii="Comic Sans MS" w:hAnsi="Comic Sans MS"/>
                <w:b/>
                <w:bCs/>
                <w:color w:val="000000"/>
                <w:sz w:val="14"/>
                <w:szCs w:val="32"/>
              </w:rPr>
              <w:t>Très sérieux</w:t>
            </w:r>
            <w:r>
              <w:rPr>
                <w:rFonts w:ascii="Comic Sans MS" w:hAnsi="Comic Sans MS"/>
                <w:b/>
                <w:bCs/>
                <w:sz w:val="14"/>
                <w:szCs w:val="32"/>
              </w:rPr>
              <w:t xml:space="preserve"> </w:t>
            </w:r>
            <w:r w:rsidRPr="00F7776F">
              <w:rPr>
                <w:rFonts w:ascii="Comic Sans MS" w:hAnsi="Comic Sans MS"/>
                <w:b/>
                <w:bCs/>
                <w:i/>
                <w:iCs/>
                <w:color w:val="000000"/>
                <w:sz w:val="14"/>
                <w:szCs w:val="32"/>
              </w:rPr>
              <w:t>Critique</w:t>
            </w:r>
          </w:p>
        </w:tc>
        <w:tc>
          <w:tcPr>
            <w:tcW w:w="1355" w:type="dxa"/>
            <w:shd w:val="clear" w:color="auto" w:fill="FF0000"/>
            <w:vAlign w:val="center"/>
          </w:tcPr>
          <w:p w:rsidR="00C062B1" w:rsidRPr="00F7776F" w:rsidRDefault="00C062B1" w:rsidP="00076941">
            <w:pPr>
              <w:jc w:val="center"/>
              <w:rPr>
                <w:rFonts w:ascii="Comic Sans MS" w:hAnsi="Comic Sans MS"/>
                <w:b/>
                <w:bCs/>
                <w:color w:val="000000"/>
                <w:sz w:val="14"/>
                <w:szCs w:val="32"/>
              </w:rPr>
            </w:pPr>
            <w:r w:rsidRPr="00F7776F">
              <w:rPr>
                <w:rFonts w:ascii="Comic Sans MS" w:hAnsi="Comic Sans MS"/>
                <w:b/>
                <w:bCs/>
                <w:color w:val="000000"/>
                <w:sz w:val="14"/>
                <w:szCs w:val="32"/>
              </w:rPr>
              <w:t>Majeur</w:t>
            </w:r>
            <w:r>
              <w:rPr>
                <w:rFonts w:ascii="Comic Sans MS" w:hAnsi="Comic Sans MS"/>
                <w:b/>
                <w:bCs/>
                <w:sz w:val="14"/>
                <w:szCs w:val="32"/>
              </w:rPr>
              <w:t xml:space="preserve"> </w:t>
            </w:r>
            <w:r w:rsidRPr="00F7776F">
              <w:rPr>
                <w:rFonts w:ascii="Comic Sans MS" w:hAnsi="Comic Sans MS"/>
                <w:b/>
                <w:bCs/>
                <w:i/>
                <w:iCs/>
                <w:color w:val="000000"/>
                <w:sz w:val="14"/>
                <w:szCs w:val="32"/>
              </w:rPr>
              <w:t>Catastrophique</w:t>
            </w:r>
          </w:p>
        </w:tc>
      </w:tr>
      <w:tr w:rsidR="00C062B1" w:rsidTr="00076941">
        <w:tc>
          <w:tcPr>
            <w:tcW w:w="1353" w:type="dxa"/>
            <w:tcBorders>
              <w:top w:val="single" w:sz="4" w:space="0" w:color="auto"/>
            </w:tcBorders>
          </w:tcPr>
          <w:p w:rsidR="00C062B1" w:rsidRPr="00BF286F" w:rsidRDefault="00C062B1" w:rsidP="00076941">
            <w:pPr>
              <w:rPr>
                <w:rFonts w:ascii="Comic Sans MS" w:hAnsi="Comic Sans MS"/>
                <w:b/>
                <w:bCs/>
                <w:color w:val="000000"/>
                <w:sz w:val="16"/>
                <w:szCs w:val="32"/>
              </w:rPr>
            </w:pPr>
            <w:r>
              <w:rPr>
                <w:rFonts w:ascii="Comic Sans MS" w:hAnsi="Comic Sans MS"/>
                <w:b/>
                <w:bCs/>
                <w:sz w:val="16"/>
                <w:szCs w:val="32"/>
              </w:rPr>
              <w:t xml:space="preserve">Santé du </w:t>
            </w:r>
            <w:r w:rsidRPr="00BF286F">
              <w:rPr>
                <w:rFonts w:ascii="Comic Sans MS" w:hAnsi="Comic Sans MS"/>
                <w:b/>
                <w:bCs/>
                <w:color w:val="000000"/>
                <w:sz w:val="16"/>
                <w:szCs w:val="32"/>
              </w:rPr>
              <w:t>patient</w:t>
            </w:r>
          </w:p>
        </w:tc>
        <w:tc>
          <w:tcPr>
            <w:tcW w:w="1298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Aucun impact</w:t>
            </w:r>
          </w:p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Insatisfaction du patient</w:t>
            </w:r>
          </w:p>
        </w:tc>
        <w:tc>
          <w:tcPr>
            <w:tcW w:w="1423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Insatisfaction manifeste, sentiment d’insécurité, manque de confort, gêne légère</w:t>
            </w:r>
          </w:p>
        </w:tc>
        <w:tc>
          <w:tcPr>
            <w:tcW w:w="1423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Atteinte superficielle</w:t>
            </w:r>
          </w:p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Gêne physique légère ou transitoire</w:t>
            </w:r>
          </w:p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</w:p>
        </w:tc>
        <w:tc>
          <w:tcPr>
            <w:tcW w:w="1690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Hospitalisation, ré-hospitalisation ou Prolongation</w:t>
            </w:r>
            <w:r>
              <w:rPr>
                <w:rFonts w:ascii="Comic Sans MS" w:hAnsi="Comic Sans MS"/>
                <w:sz w:val="14"/>
                <w:szCs w:val="28"/>
              </w:rPr>
              <w:t xml:space="preserve"> </w:t>
            </w: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Echec des soins</w:t>
            </w:r>
            <w:r>
              <w:rPr>
                <w:rFonts w:ascii="Comic Sans MS" w:hAnsi="Comic Sans MS"/>
                <w:sz w:val="14"/>
                <w:szCs w:val="28"/>
              </w:rPr>
              <w:t xml:space="preserve"> </w:t>
            </w: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Aggravation de l’état avec effets réversibles</w:t>
            </w:r>
          </w:p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Intervention chirurgicale</w:t>
            </w:r>
          </w:p>
        </w:tc>
        <w:tc>
          <w:tcPr>
            <w:tcW w:w="1313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Menace du pronostic vital</w:t>
            </w:r>
            <w:r>
              <w:rPr>
                <w:rFonts w:ascii="Comic Sans MS" w:hAnsi="Comic Sans MS"/>
                <w:sz w:val="14"/>
                <w:szCs w:val="28"/>
              </w:rPr>
              <w:t xml:space="preserve"> </w:t>
            </w: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Séquelles irréversibles</w:t>
            </w:r>
            <w:r>
              <w:rPr>
                <w:rFonts w:ascii="Comic Sans MS" w:hAnsi="Comic Sans MS"/>
                <w:sz w:val="14"/>
                <w:szCs w:val="28"/>
              </w:rPr>
              <w:t xml:space="preserve"> </w:t>
            </w: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Incapacité totale ou partielle permanente</w:t>
            </w:r>
            <w:r>
              <w:rPr>
                <w:rFonts w:ascii="Comic Sans MS" w:hAnsi="Comic Sans MS"/>
                <w:sz w:val="14"/>
                <w:szCs w:val="28"/>
              </w:rPr>
              <w:t xml:space="preserve"> </w:t>
            </w: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Malformation</w:t>
            </w:r>
          </w:p>
        </w:tc>
        <w:tc>
          <w:tcPr>
            <w:tcW w:w="1355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Décès</w:t>
            </w:r>
          </w:p>
        </w:tc>
      </w:tr>
      <w:tr w:rsidR="00C062B1" w:rsidTr="00076941">
        <w:trPr>
          <w:trHeight w:val="1467"/>
        </w:trPr>
        <w:tc>
          <w:tcPr>
            <w:tcW w:w="1353" w:type="dxa"/>
          </w:tcPr>
          <w:p w:rsidR="00C062B1" w:rsidRPr="00BF286F" w:rsidRDefault="00C062B1" w:rsidP="00076941">
            <w:pPr>
              <w:rPr>
                <w:rFonts w:ascii="Comic Sans MS" w:hAnsi="Comic Sans MS"/>
                <w:b/>
                <w:bCs/>
                <w:color w:val="000000"/>
                <w:sz w:val="16"/>
                <w:szCs w:val="32"/>
              </w:rPr>
            </w:pPr>
            <w:r w:rsidRPr="00BF286F">
              <w:rPr>
                <w:rFonts w:ascii="Comic Sans MS" w:hAnsi="Comic Sans MS"/>
                <w:b/>
                <w:bCs/>
                <w:color w:val="000000"/>
                <w:sz w:val="16"/>
                <w:szCs w:val="32"/>
              </w:rPr>
              <w:t>Continuité/</w:t>
            </w:r>
          </w:p>
          <w:p w:rsidR="00C062B1" w:rsidRPr="00BF286F" w:rsidRDefault="00C062B1" w:rsidP="00076941">
            <w:pPr>
              <w:rPr>
                <w:rFonts w:ascii="Comic Sans MS" w:hAnsi="Comic Sans MS"/>
                <w:b/>
                <w:bCs/>
                <w:color w:val="000000"/>
                <w:sz w:val="16"/>
                <w:szCs w:val="32"/>
              </w:rPr>
            </w:pPr>
            <w:r w:rsidRPr="00BF286F">
              <w:rPr>
                <w:rFonts w:ascii="Comic Sans MS" w:hAnsi="Comic Sans MS"/>
                <w:b/>
                <w:bCs/>
                <w:color w:val="000000"/>
                <w:sz w:val="16"/>
                <w:szCs w:val="32"/>
              </w:rPr>
              <w:t>Qualité des soins</w:t>
            </w:r>
          </w:p>
        </w:tc>
        <w:tc>
          <w:tcPr>
            <w:tcW w:w="1298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Mission réalisée sans impact</w:t>
            </w:r>
          </w:p>
        </w:tc>
        <w:tc>
          <w:tcPr>
            <w:tcW w:w="1423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Désorganisation ponctuelle du travail</w:t>
            </w:r>
            <w:r>
              <w:rPr>
                <w:rFonts w:ascii="Comic Sans MS" w:hAnsi="Comic Sans MS"/>
                <w:sz w:val="14"/>
                <w:szCs w:val="28"/>
              </w:rPr>
              <w:t xml:space="preserve"> </w:t>
            </w: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Retard de la mission compris entre 1 et 2h</w:t>
            </w:r>
          </w:p>
        </w:tc>
        <w:tc>
          <w:tcPr>
            <w:tcW w:w="1423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Désorganisation durable du travail</w:t>
            </w:r>
            <w:r>
              <w:rPr>
                <w:rFonts w:ascii="Comic Sans MS" w:hAnsi="Comic Sans MS"/>
                <w:sz w:val="14"/>
                <w:szCs w:val="28"/>
              </w:rPr>
              <w:t xml:space="preserve"> </w:t>
            </w: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Retard de la mission entre 2 et 24h</w:t>
            </w:r>
          </w:p>
        </w:tc>
        <w:tc>
          <w:tcPr>
            <w:tcW w:w="1690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Retard de la mission supérieur à 24hImpossibilité de fonctionner, fermeture temporaire de lits</w:t>
            </w:r>
            <w:r>
              <w:rPr>
                <w:rFonts w:ascii="Comic Sans MS" w:hAnsi="Comic Sans MS"/>
                <w:sz w:val="14"/>
                <w:szCs w:val="28"/>
              </w:rPr>
              <w:t xml:space="preserve"> </w:t>
            </w: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Rupture totale et durable des approvisionnements</w:t>
            </w:r>
          </w:p>
        </w:tc>
        <w:tc>
          <w:tcPr>
            <w:tcW w:w="1313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Fermeture du service</w:t>
            </w:r>
          </w:p>
        </w:tc>
        <w:tc>
          <w:tcPr>
            <w:tcW w:w="1355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Fermeture de l’établissement</w:t>
            </w:r>
          </w:p>
        </w:tc>
      </w:tr>
      <w:tr w:rsidR="00C062B1" w:rsidTr="00076941">
        <w:tc>
          <w:tcPr>
            <w:tcW w:w="1353" w:type="dxa"/>
          </w:tcPr>
          <w:p w:rsidR="00C062B1" w:rsidRPr="00BF286F" w:rsidRDefault="00C062B1" w:rsidP="00076941">
            <w:pPr>
              <w:rPr>
                <w:rFonts w:ascii="Comic Sans MS" w:hAnsi="Comic Sans MS"/>
                <w:b/>
                <w:bCs/>
                <w:color w:val="000000"/>
                <w:sz w:val="16"/>
                <w:szCs w:val="32"/>
              </w:rPr>
            </w:pPr>
            <w:r w:rsidRPr="00BF286F">
              <w:rPr>
                <w:rFonts w:ascii="Comic Sans MS" w:hAnsi="Comic Sans MS"/>
                <w:b/>
                <w:bCs/>
                <w:color w:val="000000"/>
                <w:sz w:val="16"/>
                <w:szCs w:val="32"/>
              </w:rPr>
              <w:t>Santé du personnel / climat social</w:t>
            </w:r>
          </w:p>
        </w:tc>
        <w:tc>
          <w:tcPr>
            <w:tcW w:w="1298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Aucun impact</w:t>
            </w:r>
            <w:r>
              <w:rPr>
                <w:rFonts w:ascii="Comic Sans MS" w:hAnsi="Comic Sans MS"/>
                <w:sz w:val="14"/>
                <w:szCs w:val="28"/>
              </w:rPr>
              <w:t xml:space="preserve"> </w:t>
            </w: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Démotivation</w:t>
            </w:r>
            <w:r>
              <w:rPr>
                <w:rFonts w:ascii="Comic Sans MS" w:hAnsi="Comic Sans MS"/>
                <w:sz w:val="14"/>
                <w:szCs w:val="28"/>
              </w:rPr>
              <w:t xml:space="preserve"> </w:t>
            </w: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Pas d’Arrêt de Travail (AT)</w:t>
            </w:r>
          </w:p>
        </w:tc>
        <w:tc>
          <w:tcPr>
            <w:tcW w:w="1423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Atteinte nécessitant des soins</w:t>
            </w:r>
            <w:r>
              <w:rPr>
                <w:rFonts w:ascii="Comic Sans MS" w:hAnsi="Comic Sans MS"/>
                <w:sz w:val="14"/>
                <w:szCs w:val="28"/>
              </w:rPr>
              <w:t xml:space="preserve"> </w:t>
            </w: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Dégradation du climat social, désorganisation du travail</w:t>
            </w:r>
          </w:p>
        </w:tc>
        <w:tc>
          <w:tcPr>
            <w:tcW w:w="1423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AT&lt;3j</w:t>
            </w:r>
          </w:p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Conflit dur/grève</w:t>
            </w:r>
          </w:p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</w:p>
        </w:tc>
        <w:tc>
          <w:tcPr>
            <w:tcW w:w="1690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3j&lt;AT&lt;21j</w:t>
            </w:r>
            <w:r>
              <w:rPr>
                <w:rFonts w:ascii="Comic Sans MS" w:hAnsi="Comic Sans MS"/>
                <w:sz w:val="14"/>
                <w:szCs w:val="28"/>
              </w:rPr>
              <w:t xml:space="preserve"> </w:t>
            </w: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Grève paralysant l’établissement</w:t>
            </w:r>
          </w:p>
        </w:tc>
        <w:tc>
          <w:tcPr>
            <w:tcW w:w="1313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Séquelles irréversibles</w:t>
            </w:r>
          </w:p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  <w:lang w:val="da-DK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  <w:lang w:val="da-DK"/>
              </w:rPr>
              <w:t>AT&gt;21 jours</w:t>
            </w:r>
          </w:p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</w:p>
        </w:tc>
        <w:tc>
          <w:tcPr>
            <w:tcW w:w="1355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Décès</w:t>
            </w:r>
          </w:p>
        </w:tc>
      </w:tr>
      <w:tr w:rsidR="00C062B1" w:rsidTr="00076941">
        <w:trPr>
          <w:trHeight w:val="1169"/>
        </w:trPr>
        <w:tc>
          <w:tcPr>
            <w:tcW w:w="1353" w:type="dxa"/>
          </w:tcPr>
          <w:p w:rsidR="00C062B1" w:rsidRPr="00BF286F" w:rsidRDefault="00C062B1" w:rsidP="00076941">
            <w:pPr>
              <w:rPr>
                <w:rFonts w:ascii="Comic Sans MS" w:hAnsi="Comic Sans MS"/>
                <w:b/>
                <w:bCs/>
                <w:color w:val="000000"/>
                <w:sz w:val="16"/>
                <w:szCs w:val="32"/>
              </w:rPr>
            </w:pPr>
            <w:r w:rsidRPr="00BF286F">
              <w:rPr>
                <w:rFonts w:ascii="Comic Sans MS" w:hAnsi="Comic Sans MS"/>
                <w:b/>
                <w:bCs/>
                <w:color w:val="000000"/>
                <w:sz w:val="16"/>
                <w:szCs w:val="32"/>
              </w:rPr>
              <w:t>Biens matériels et environnement (destruction ou disparition) ou perte financière</w:t>
            </w:r>
          </w:p>
        </w:tc>
        <w:tc>
          <w:tcPr>
            <w:tcW w:w="1298" w:type="dxa"/>
          </w:tcPr>
          <w:p w:rsidR="00C062B1" w:rsidRPr="001F391C" w:rsidRDefault="00C062B1" w:rsidP="00076941">
            <w:pPr>
              <w:rPr>
                <w:rFonts w:ascii="Comic Sans MS" w:hAnsi="Comic Sans MS"/>
                <w:sz w:val="14"/>
                <w:szCs w:val="28"/>
              </w:rPr>
            </w:pPr>
            <w:r w:rsidRPr="001F391C">
              <w:rPr>
                <w:rFonts w:ascii="Comic Sans MS" w:hAnsi="Comic Sans MS"/>
                <w:sz w:val="14"/>
                <w:szCs w:val="28"/>
              </w:rPr>
              <w:t>Inférieur à 10 euros</w:t>
            </w:r>
          </w:p>
        </w:tc>
        <w:tc>
          <w:tcPr>
            <w:tcW w:w="1423" w:type="dxa"/>
          </w:tcPr>
          <w:p w:rsidR="00C062B1" w:rsidRPr="001F391C" w:rsidRDefault="00C062B1" w:rsidP="00076941">
            <w:pPr>
              <w:rPr>
                <w:rFonts w:ascii="Comic Sans MS" w:hAnsi="Comic Sans MS"/>
                <w:sz w:val="14"/>
                <w:szCs w:val="28"/>
              </w:rPr>
            </w:pPr>
            <w:r w:rsidRPr="001F391C">
              <w:rPr>
                <w:rFonts w:ascii="Comic Sans MS" w:hAnsi="Comic Sans MS"/>
                <w:sz w:val="14"/>
                <w:szCs w:val="28"/>
              </w:rPr>
              <w:t>Entre 10 et 100 euros</w:t>
            </w:r>
          </w:p>
        </w:tc>
        <w:tc>
          <w:tcPr>
            <w:tcW w:w="1423" w:type="dxa"/>
          </w:tcPr>
          <w:p w:rsidR="00C062B1" w:rsidRPr="001F391C" w:rsidRDefault="00C062B1" w:rsidP="00076941">
            <w:pPr>
              <w:rPr>
                <w:rFonts w:ascii="Comic Sans MS" w:hAnsi="Comic Sans MS"/>
                <w:sz w:val="14"/>
                <w:szCs w:val="28"/>
              </w:rPr>
            </w:pPr>
            <w:r w:rsidRPr="001F391C">
              <w:rPr>
                <w:rFonts w:ascii="Comic Sans MS" w:hAnsi="Comic Sans MS"/>
                <w:sz w:val="14"/>
                <w:szCs w:val="28"/>
              </w:rPr>
              <w:t>Entre 100 et 5000 euros Dégâts matériels importants n’empêchant pas la poursuite de l’activité</w:t>
            </w:r>
          </w:p>
        </w:tc>
        <w:tc>
          <w:tcPr>
            <w:tcW w:w="1690" w:type="dxa"/>
          </w:tcPr>
          <w:p w:rsidR="00C062B1" w:rsidRPr="001F391C" w:rsidRDefault="00C062B1" w:rsidP="00076941">
            <w:pPr>
              <w:rPr>
                <w:rFonts w:ascii="Comic Sans MS" w:hAnsi="Comic Sans MS"/>
                <w:sz w:val="14"/>
                <w:szCs w:val="28"/>
              </w:rPr>
            </w:pPr>
            <w:r w:rsidRPr="001F391C">
              <w:rPr>
                <w:rFonts w:ascii="Comic Sans MS" w:hAnsi="Comic Sans MS"/>
                <w:sz w:val="14"/>
                <w:szCs w:val="28"/>
              </w:rPr>
              <w:t>Entre 5000 et 10 000 euros Dégâts matériels empêchant durablement la poursuite de tout ou partie de l’activité</w:t>
            </w:r>
          </w:p>
        </w:tc>
        <w:tc>
          <w:tcPr>
            <w:tcW w:w="1313" w:type="dxa"/>
          </w:tcPr>
          <w:p w:rsidR="00C062B1" w:rsidRPr="001F391C" w:rsidRDefault="00C062B1" w:rsidP="00076941">
            <w:pPr>
              <w:rPr>
                <w:rFonts w:ascii="Comic Sans MS" w:hAnsi="Comic Sans MS"/>
                <w:sz w:val="14"/>
                <w:szCs w:val="28"/>
              </w:rPr>
            </w:pPr>
            <w:r w:rsidRPr="001F391C">
              <w:rPr>
                <w:rFonts w:ascii="Comic Sans MS" w:hAnsi="Comic Sans MS"/>
                <w:sz w:val="14"/>
                <w:szCs w:val="28"/>
              </w:rPr>
              <w:t>Entre 10 000 et 100 000 euros</w:t>
            </w:r>
          </w:p>
        </w:tc>
        <w:tc>
          <w:tcPr>
            <w:tcW w:w="1355" w:type="dxa"/>
          </w:tcPr>
          <w:p w:rsidR="00C062B1" w:rsidRPr="001F391C" w:rsidRDefault="00C062B1" w:rsidP="00076941">
            <w:pPr>
              <w:rPr>
                <w:rFonts w:ascii="Comic Sans MS" w:hAnsi="Comic Sans MS"/>
                <w:sz w:val="14"/>
                <w:szCs w:val="28"/>
              </w:rPr>
            </w:pPr>
            <w:r w:rsidRPr="001F391C">
              <w:rPr>
                <w:rFonts w:ascii="Comic Sans MS" w:hAnsi="Comic Sans MS"/>
                <w:sz w:val="14"/>
                <w:szCs w:val="28"/>
              </w:rPr>
              <w:t>Supérieur à 100 000 euros</w:t>
            </w:r>
          </w:p>
        </w:tc>
      </w:tr>
      <w:tr w:rsidR="00C062B1" w:rsidTr="00076941">
        <w:trPr>
          <w:trHeight w:val="1080"/>
        </w:trPr>
        <w:tc>
          <w:tcPr>
            <w:tcW w:w="1353" w:type="dxa"/>
          </w:tcPr>
          <w:p w:rsidR="00C062B1" w:rsidRPr="00BF286F" w:rsidRDefault="00C062B1" w:rsidP="00076941">
            <w:pPr>
              <w:rPr>
                <w:rFonts w:ascii="Comic Sans MS" w:hAnsi="Comic Sans MS"/>
                <w:b/>
                <w:bCs/>
                <w:color w:val="000000"/>
                <w:sz w:val="16"/>
                <w:szCs w:val="32"/>
              </w:rPr>
            </w:pPr>
            <w:r w:rsidRPr="00BF286F">
              <w:rPr>
                <w:rFonts w:ascii="Comic Sans MS" w:hAnsi="Comic Sans MS"/>
                <w:b/>
                <w:bCs/>
                <w:color w:val="000000"/>
                <w:sz w:val="16"/>
                <w:szCs w:val="32"/>
              </w:rPr>
              <w:t>Risque juridique</w:t>
            </w:r>
          </w:p>
        </w:tc>
        <w:tc>
          <w:tcPr>
            <w:tcW w:w="1298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Plainte ou réclamation orale sans suite</w:t>
            </w:r>
          </w:p>
        </w:tc>
        <w:tc>
          <w:tcPr>
            <w:tcW w:w="1423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Plainte écrite sur questionnaire patient</w:t>
            </w:r>
            <w:r>
              <w:rPr>
                <w:rFonts w:ascii="Comic Sans MS" w:hAnsi="Comic Sans MS"/>
                <w:sz w:val="14"/>
                <w:szCs w:val="28"/>
              </w:rPr>
              <w:t xml:space="preserve"> </w:t>
            </w: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Contentieux, sanctions disciplinaires</w:t>
            </w:r>
          </w:p>
        </w:tc>
        <w:tc>
          <w:tcPr>
            <w:tcW w:w="1423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Courrier de réclamation</w:t>
            </w:r>
          </w:p>
        </w:tc>
        <w:tc>
          <w:tcPr>
            <w:tcW w:w="1690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Plainte officielle</w:t>
            </w:r>
          </w:p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Procès pénal</w:t>
            </w:r>
          </w:p>
        </w:tc>
        <w:tc>
          <w:tcPr>
            <w:tcW w:w="1313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Plainte/procès</w:t>
            </w:r>
          </w:p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 xml:space="preserve">Etablissement condamné </w:t>
            </w:r>
          </w:p>
        </w:tc>
        <w:tc>
          <w:tcPr>
            <w:tcW w:w="1355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Plainte/procès</w:t>
            </w:r>
          </w:p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 xml:space="preserve">Etablissement condamné </w:t>
            </w:r>
          </w:p>
        </w:tc>
      </w:tr>
      <w:tr w:rsidR="00C062B1" w:rsidTr="00076941">
        <w:tc>
          <w:tcPr>
            <w:tcW w:w="1353" w:type="dxa"/>
          </w:tcPr>
          <w:p w:rsidR="00C062B1" w:rsidRPr="00BF286F" w:rsidRDefault="00C062B1" w:rsidP="00076941">
            <w:pPr>
              <w:rPr>
                <w:rFonts w:ascii="Comic Sans MS" w:hAnsi="Comic Sans MS"/>
                <w:b/>
                <w:bCs/>
                <w:color w:val="000000"/>
                <w:sz w:val="16"/>
                <w:szCs w:val="32"/>
              </w:rPr>
            </w:pPr>
            <w:r>
              <w:rPr>
                <w:rFonts w:ascii="Comic Sans MS" w:hAnsi="Comic Sans MS"/>
                <w:b/>
                <w:bCs/>
                <w:sz w:val="16"/>
                <w:szCs w:val="32"/>
              </w:rPr>
              <w:t xml:space="preserve">Atteinte à l’image </w:t>
            </w:r>
            <w:r w:rsidRPr="00BF286F">
              <w:rPr>
                <w:rFonts w:ascii="Comic Sans MS" w:hAnsi="Comic Sans MS"/>
                <w:b/>
                <w:bCs/>
                <w:color w:val="000000"/>
                <w:sz w:val="16"/>
                <w:szCs w:val="32"/>
              </w:rPr>
              <w:t>de l’établissement</w:t>
            </w:r>
          </w:p>
        </w:tc>
        <w:tc>
          <w:tcPr>
            <w:tcW w:w="1298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Aucun « bruit de couloir »</w:t>
            </w:r>
          </w:p>
        </w:tc>
        <w:tc>
          <w:tcPr>
            <w:tcW w:w="1423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« Bruits de couloirs » relayés à l’extérieur de l’établissement</w:t>
            </w:r>
          </w:p>
        </w:tc>
        <w:tc>
          <w:tcPr>
            <w:tcW w:w="1423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Médiatisation locale</w:t>
            </w:r>
          </w:p>
        </w:tc>
        <w:tc>
          <w:tcPr>
            <w:tcW w:w="1690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Médiatisation locale</w:t>
            </w:r>
          </w:p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Perte de confiance des usagers</w:t>
            </w:r>
          </w:p>
        </w:tc>
        <w:tc>
          <w:tcPr>
            <w:tcW w:w="1313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Médiatisation à l’échelle nationale</w:t>
            </w:r>
          </w:p>
        </w:tc>
        <w:tc>
          <w:tcPr>
            <w:tcW w:w="1355" w:type="dxa"/>
          </w:tcPr>
          <w:p w:rsidR="00C062B1" w:rsidRPr="00BF286F" w:rsidRDefault="00C062B1" w:rsidP="00076941">
            <w:pPr>
              <w:rPr>
                <w:rFonts w:ascii="Comic Sans MS" w:hAnsi="Comic Sans MS"/>
                <w:color w:val="000000"/>
                <w:sz w:val="14"/>
                <w:szCs w:val="28"/>
              </w:rPr>
            </w:pPr>
            <w:r w:rsidRPr="00BF286F">
              <w:rPr>
                <w:rFonts w:ascii="Comic Sans MS" w:hAnsi="Comic Sans MS"/>
                <w:color w:val="000000"/>
                <w:sz w:val="14"/>
                <w:szCs w:val="28"/>
              </w:rPr>
              <w:t>Médiatisation à l’échelle nationale</w:t>
            </w:r>
          </w:p>
        </w:tc>
      </w:tr>
    </w:tbl>
    <w:p w:rsidR="00C062B1" w:rsidRDefault="00A56EBE" w:rsidP="00C062B1">
      <w:pPr>
        <w:tabs>
          <w:tab w:val="left" w:pos="5556"/>
        </w:tabs>
      </w:pPr>
      <w:r>
        <w:rPr>
          <w:noProof/>
        </w:rPr>
        <w:pict>
          <v:rect id="_x0000_s1031" style="position:absolute;left:0;text-align:left;margin-left:159.95pt;margin-top:9.05pt;width:176.3pt;height:18.75pt;z-index:251662336;mso-position-horizontal-relative:margin;mso-position-vertical-relative:margin;v-text-anchor:middle" stroked="f">
            <v:textbox style="mso-next-textbox:#_x0000_s1031">
              <w:txbxContent>
                <w:p w:rsidR="00C062B1" w:rsidRDefault="00C062B1" w:rsidP="00C062B1">
                  <w:pPr>
                    <w:jc w:val="center"/>
                  </w:pPr>
                  <w:r>
                    <w:t>ECHELLE DE GRAVITE</w:t>
                  </w:r>
                </w:p>
              </w:txbxContent>
            </v:textbox>
            <w10:wrap anchorx="margin" anchory="margin"/>
          </v:rect>
        </w:pict>
      </w:r>
    </w:p>
    <w:p w:rsidR="00C062B1" w:rsidRDefault="00C062B1" w:rsidP="00C062B1">
      <w:pPr>
        <w:tabs>
          <w:tab w:val="left" w:pos="8268"/>
        </w:tabs>
      </w:pPr>
    </w:p>
    <w:p w:rsidR="00C062B1" w:rsidRDefault="00C062B1" w:rsidP="00C062B1">
      <w:pPr>
        <w:tabs>
          <w:tab w:val="left" w:pos="8268"/>
        </w:tabs>
      </w:pPr>
    </w:p>
    <w:p w:rsidR="00C062B1" w:rsidRDefault="00C062B1" w:rsidP="00C062B1">
      <w:pPr>
        <w:tabs>
          <w:tab w:val="left" w:pos="8268"/>
        </w:tabs>
      </w:pPr>
    </w:p>
    <w:p w:rsidR="00C062B1" w:rsidRDefault="00C062B1" w:rsidP="00C062B1">
      <w:pPr>
        <w:tabs>
          <w:tab w:val="left" w:pos="8268"/>
        </w:tabs>
      </w:pPr>
    </w:p>
    <w:p w:rsidR="00C062B1" w:rsidRDefault="00C062B1" w:rsidP="00C062B1">
      <w:pPr>
        <w:tabs>
          <w:tab w:val="left" w:pos="8268"/>
        </w:tabs>
      </w:pPr>
    </w:p>
    <w:p w:rsidR="00C33CD2" w:rsidRDefault="00B9167E"/>
    <w:sectPr w:rsidR="00C33CD2" w:rsidSect="005A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7822CE"/>
    <w:multiLevelType w:val="singleLevel"/>
    <w:tmpl w:val="811F4CD9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>
    <w:nsid w:val="6B6E2C20"/>
    <w:multiLevelType w:val="multilevel"/>
    <w:tmpl w:val="7F4CFF1A"/>
    <w:lvl w:ilvl="0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1360" w:hanging="651"/>
      </w:pPr>
      <w:rPr>
        <w:rFonts w:hint="default"/>
        <w:b/>
      </w:rPr>
    </w:lvl>
    <w:lvl w:ilvl="2">
      <w:start w:val="1"/>
      <w:numFmt w:val="decimal"/>
      <w:pStyle w:val="Titre3"/>
      <w:isLgl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pStyle w:val="Titre4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95C"/>
    <w:rsid w:val="00013369"/>
    <w:rsid w:val="002A13E2"/>
    <w:rsid w:val="002B17E2"/>
    <w:rsid w:val="0032399F"/>
    <w:rsid w:val="003B24FF"/>
    <w:rsid w:val="003F766B"/>
    <w:rsid w:val="004B1B82"/>
    <w:rsid w:val="004F45A0"/>
    <w:rsid w:val="0051249A"/>
    <w:rsid w:val="00526E7E"/>
    <w:rsid w:val="005A0886"/>
    <w:rsid w:val="005A3C2C"/>
    <w:rsid w:val="005E0DF1"/>
    <w:rsid w:val="00797CA8"/>
    <w:rsid w:val="008F095C"/>
    <w:rsid w:val="00A56EBE"/>
    <w:rsid w:val="00B9167E"/>
    <w:rsid w:val="00BC36EE"/>
    <w:rsid w:val="00C062B1"/>
    <w:rsid w:val="00DB4019"/>
    <w:rsid w:val="00E43A77"/>
    <w:rsid w:val="00EC4D5F"/>
    <w:rsid w:val="00FB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 w:themeColor="text1"/>
      <w:lang w:val="fr-FR" w:eastAsia="fr-FR" w:bidi="ar-SA"/>
    </w:rPr>
  </w:style>
  <w:style w:type="paragraph" w:styleId="Titre1">
    <w:name w:val="heading 1"/>
    <w:basedOn w:val="Paragraphedeliste"/>
    <w:next w:val="Normal"/>
    <w:link w:val="Titre1Car"/>
    <w:qFormat/>
    <w:rsid w:val="004F45A0"/>
    <w:pPr>
      <w:numPr>
        <w:numId w:val="15"/>
      </w:numPr>
      <w:jc w:val="center"/>
      <w:outlineLvl w:val="0"/>
    </w:pPr>
    <w:rPr>
      <w:rFonts w:eastAsiaTheme="majorEastAsia" w:cstheme="majorBidi"/>
      <w:color w:val="auto"/>
      <w:sz w:val="28"/>
      <w:szCs w:val="24"/>
      <w:lang w:eastAsia="en-US"/>
    </w:rPr>
  </w:style>
  <w:style w:type="paragraph" w:styleId="Titre2">
    <w:name w:val="heading 2"/>
    <w:basedOn w:val="Paragraphedeliste"/>
    <w:next w:val="Normal"/>
    <w:link w:val="Titre2Car"/>
    <w:unhideWhenUsed/>
    <w:qFormat/>
    <w:rsid w:val="004F45A0"/>
    <w:pPr>
      <w:numPr>
        <w:ilvl w:val="1"/>
        <w:numId w:val="15"/>
      </w:numPr>
      <w:jc w:val="left"/>
      <w:outlineLvl w:val="1"/>
    </w:pPr>
    <w:rPr>
      <w:rFonts w:eastAsiaTheme="majorEastAsia"/>
      <w:b/>
      <w:color w:val="auto"/>
      <w:sz w:val="24"/>
      <w:lang w:eastAsia="en-US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4F45A0"/>
    <w:pPr>
      <w:numPr>
        <w:ilvl w:val="2"/>
        <w:numId w:val="15"/>
      </w:numPr>
      <w:spacing w:before="480" w:after="120"/>
      <w:ind w:right="-57"/>
      <w:jc w:val="left"/>
      <w:outlineLvl w:val="2"/>
    </w:pPr>
    <w:rPr>
      <w:rFonts w:eastAsiaTheme="majorEastAsia"/>
      <w:b/>
      <w:color w:val="auto"/>
      <w:lang w:eastAsia="en-US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4F45A0"/>
    <w:pPr>
      <w:numPr>
        <w:ilvl w:val="3"/>
      </w:numPr>
      <w:outlineLvl w:val="3"/>
    </w:pPr>
    <w:rPr>
      <w:rFonts w:eastAsiaTheme="minorHAnsi"/>
      <w:b w:val="0"/>
      <w:color w:val="000000" w:themeColor="text1"/>
      <w:u w:val="single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45A0"/>
    <w:pPr>
      <w:spacing w:before="240" w:after="60"/>
      <w:outlineLvl w:val="4"/>
    </w:pPr>
    <w:rPr>
      <w:rFonts w:asciiTheme="minorHAnsi" w:hAnsiTheme="minorHAnsi"/>
      <w:b/>
      <w:bCs/>
      <w:i/>
      <w:iCs/>
      <w:color w:val="auto"/>
      <w:sz w:val="26"/>
      <w:szCs w:val="26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45A0"/>
    <w:pPr>
      <w:spacing w:before="240" w:after="60"/>
      <w:outlineLvl w:val="5"/>
    </w:pPr>
    <w:rPr>
      <w:rFonts w:asciiTheme="minorHAnsi" w:hAnsiTheme="minorHAnsi"/>
      <w:b/>
      <w:bCs/>
      <w:color w:val="auto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45A0"/>
    <w:pPr>
      <w:spacing w:before="240" w:after="60"/>
      <w:outlineLvl w:val="6"/>
    </w:pPr>
    <w:rPr>
      <w:rFonts w:asciiTheme="minorHAnsi" w:hAnsiTheme="minorHAnsi"/>
      <w:color w:val="auto"/>
      <w:sz w:val="24"/>
      <w:szCs w:val="24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45A0"/>
    <w:pPr>
      <w:spacing w:before="240" w:after="60"/>
      <w:outlineLvl w:val="7"/>
    </w:pPr>
    <w:rPr>
      <w:rFonts w:asciiTheme="minorHAnsi" w:hAnsiTheme="minorHAnsi"/>
      <w:i/>
      <w:iCs/>
      <w:color w:val="auto"/>
      <w:sz w:val="24"/>
      <w:szCs w:val="24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45A0"/>
    <w:pPr>
      <w:spacing w:before="240" w:after="60"/>
      <w:outlineLvl w:val="8"/>
    </w:pPr>
    <w:rPr>
      <w:rFonts w:asciiTheme="majorHAnsi" w:eastAsiaTheme="majorEastAsia" w:hAnsiTheme="majorHAnsi"/>
      <w:color w:val="auto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F45A0"/>
    <w:rPr>
      <w:rFonts w:ascii="Times New Roman" w:eastAsiaTheme="majorEastAsia" w:hAnsi="Times New Roman" w:cstheme="majorBidi"/>
      <w:sz w:val="28"/>
      <w:szCs w:val="24"/>
      <w:lang w:val="fr-FR" w:bidi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45A0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auto"/>
      <w:sz w:val="24"/>
      <w:szCs w:val="24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4F45A0"/>
    <w:rPr>
      <w:rFonts w:asciiTheme="majorHAnsi" w:eastAsiaTheme="majorEastAsia" w:hAnsiTheme="majorHAnsi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F45A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4F45A0"/>
    <w:pPr>
      <w:numPr>
        <w:numId w:val="0"/>
      </w:numPr>
      <w:outlineLvl w:val="9"/>
    </w:pPr>
    <w:rPr>
      <w:color w:val="000000" w:themeColor="text1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F45A0"/>
    <w:rPr>
      <w:rFonts w:ascii="Times New Roman" w:eastAsiaTheme="majorEastAsia" w:hAnsi="Times New Roman"/>
      <w:b/>
      <w:sz w:val="24"/>
      <w:lang w:val="fr-FR" w:bidi="ar-SA"/>
    </w:rPr>
  </w:style>
  <w:style w:type="character" w:customStyle="1" w:styleId="Titre3Car">
    <w:name w:val="Titre 3 Car"/>
    <w:basedOn w:val="Policepardfaut"/>
    <w:link w:val="Titre3"/>
    <w:uiPriority w:val="9"/>
    <w:rsid w:val="004F45A0"/>
    <w:rPr>
      <w:rFonts w:ascii="Times New Roman" w:eastAsiaTheme="majorEastAsia" w:hAnsi="Times New Roman"/>
      <w:b/>
      <w:lang w:val="fr-FR" w:bidi="ar-SA"/>
    </w:rPr>
  </w:style>
  <w:style w:type="character" w:customStyle="1" w:styleId="Titre4Car">
    <w:name w:val="Titre 4 Car"/>
    <w:basedOn w:val="Policepardfaut"/>
    <w:link w:val="Titre4"/>
    <w:uiPriority w:val="9"/>
    <w:rsid w:val="004F45A0"/>
    <w:rPr>
      <w:rFonts w:ascii="Times New Roman" w:hAnsi="Times New Roman"/>
      <w:color w:val="000000" w:themeColor="text1"/>
      <w:u w:val="single"/>
      <w:lang w:val="fr-FR" w:eastAsia="fr-FR" w:bidi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4F45A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F45A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F45A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F45A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F45A0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4F45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auto"/>
      <w:kern w:val="28"/>
      <w:sz w:val="32"/>
      <w:szCs w:val="3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4F45A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lev">
    <w:name w:val="Strong"/>
    <w:basedOn w:val="Policepardfaut"/>
    <w:uiPriority w:val="22"/>
    <w:qFormat/>
    <w:rsid w:val="004F45A0"/>
    <w:rPr>
      <w:b/>
      <w:bCs/>
    </w:rPr>
  </w:style>
  <w:style w:type="character" w:styleId="Accentuation">
    <w:name w:val="Emphasis"/>
    <w:basedOn w:val="Policepardfaut"/>
    <w:uiPriority w:val="20"/>
    <w:qFormat/>
    <w:rsid w:val="004F45A0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4F45A0"/>
    <w:rPr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4F45A0"/>
    <w:rPr>
      <w:rFonts w:asciiTheme="minorHAnsi" w:hAnsiTheme="minorHAnsi"/>
      <w:i/>
      <w:color w:val="auto"/>
      <w:sz w:val="24"/>
      <w:szCs w:val="24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4F45A0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45A0"/>
    <w:pPr>
      <w:ind w:left="720" w:right="720"/>
    </w:pPr>
    <w:rPr>
      <w:rFonts w:asciiTheme="minorHAnsi" w:hAnsiTheme="minorHAnsi"/>
      <w:b/>
      <w:i/>
      <w:color w:val="auto"/>
      <w:sz w:val="24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45A0"/>
    <w:rPr>
      <w:b/>
      <w:i/>
      <w:sz w:val="24"/>
    </w:rPr>
  </w:style>
  <w:style w:type="character" w:styleId="Emphaseple">
    <w:name w:val="Subtle Emphasis"/>
    <w:uiPriority w:val="19"/>
    <w:qFormat/>
    <w:rsid w:val="004F45A0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4F45A0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4F45A0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4F45A0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4F45A0"/>
    <w:rPr>
      <w:rFonts w:asciiTheme="majorHAnsi" w:eastAsiaTheme="majorEastAsia" w:hAnsiTheme="majorHAnsi"/>
      <w:b/>
      <w:i/>
      <w:sz w:val="24"/>
      <w:szCs w:val="24"/>
    </w:rPr>
  </w:style>
  <w:style w:type="table" w:styleId="Grilledutableau">
    <w:name w:val="Table Grid"/>
    <w:basedOn w:val="TableauNormal"/>
    <w:rsid w:val="008F095C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2011-06-28T12:54:00Z</dcterms:created>
  <dcterms:modified xsi:type="dcterms:W3CDTF">2011-06-28T13:06:00Z</dcterms:modified>
</cp:coreProperties>
</file>