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0C" w:rsidRDefault="008A740C" w:rsidP="008A740C">
      <w:pPr>
        <w:rPr>
          <w:rFonts w:ascii="Arial" w:hAnsi="Arial" w:cs="Arial"/>
          <w:bCs/>
          <w:i/>
          <w:sz w:val="20"/>
          <w:szCs w:val="20"/>
        </w:rPr>
      </w:pPr>
    </w:p>
    <w:p w:rsidR="008A740C" w:rsidRDefault="00A52EA5" w:rsidP="00A52EA5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</w:t>
      </w:r>
    </w:p>
    <w:tbl>
      <w:tblPr>
        <w:tblW w:w="8983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551"/>
        <w:gridCol w:w="1143"/>
        <w:gridCol w:w="992"/>
        <w:gridCol w:w="1461"/>
        <w:gridCol w:w="1418"/>
      </w:tblGrid>
      <w:tr w:rsidR="008A740C" w:rsidRPr="00391FE8" w:rsidTr="005A3855">
        <w:trPr>
          <w:trHeight w:val="708"/>
        </w:trPr>
        <w:tc>
          <w:tcPr>
            <w:tcW w:w="1418" w:type="dxa"/>
            <w:vMerge w:val="restart"/>
            <w:shd w:val="clear" w:color="auto" w:fill="auto"/>
            <w:noWrap/>
            <w:vAlign w:val="bottom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352425" cy="314325"/>
                  <wp:effectExtent l="1905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8A740C" w:rsidRPr="00391FE8" w:rsidTr="005A3855">
              <w:trPr>
                <w:trHeight w:val="285"/>
                <w:tblCellSpacing w:w="0" w:type="dxa"/>
              </w:trPr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8A740C" w:rsidRPr="00391FE8" w:rsidRDefault="008A740C" w:rsidP="005A385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8A740C" w:rsidRPr="00391FE8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gridSpan w:val="5"/>
            <w:shd w:val="clear" w:color="auto" w:fill="auto"/>
            <w:noWrap/>
            <w:vAlign w:val="bottom"/>
          </w:tcPr>
          <w:p w:rsidR="008A740C" w:rsidRPr="0075300E" w:rsidRDefault="008A740C" w:rsidP="005A3855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r w:rsidRPr="00391FE8">
              <w:rPr>
                <w:rFonts w:ascii="Arial" w:hAnsi="Arial" w:cs="Arial"/>
                <w:color w:val="993300"/>
                <w:sz w:val="22"/>
                <w:szCs w:val="22"/>
              </w:rPr>
              <w:t>Risques liés aux équipements biomédicaux</w:t>
            </w:r>
          </w:p>
          <w:p w:rsidR="008A740C" w:rsidRPr="00391FE8" w:rsidRDefault="008A740C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740C" w:rsidRPr="00391FE8" w:rsidTr="005A3855">
        <w:trPr>
          <w:trHeight w:val="575"/>
        </w:trPr>
        <w:tc>
          <w:tcPr>
            <w:tcW w:w="1418" w:type="dxa"/>
            <w:vMerge/>
            <w:shd w:val="clear" w:color="auto" w:fill="auto"/>
            <w:noWrap/>
            <w:vAlign w:val="bottom"/>
          </w:tcPr>
          <w:p w:rsidR="008A740C" w:rsidRPr="00391FE8" w:rsidRDefault="008A740C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65" w:type="dxa"/>
            <w:gridSpan w:val="5"/>
            <w:shd w:val="clear" w:color="auto" w:fill="auto"/>
            <w:noWrap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02C0">
              <w:rPr>
                <w:rFonts w:ascii="Arial" w:hAnsi="Arial" w:cs="Arial"/>
                <w:sz w:val="28"/>
                <w:szCs w:val="28"/>
              </w:rPr>
              <w:t>Service d’</w:t>
            </w:r>
            <w:r>
              <w:rPr>
                <w:rFonts w:ascii="Arial" w:hAnsi="Arial" w:cs="Arial"/>
                <w:sz w:val="28"/>
                <w:szCs w:val="28"/>
              </w:rPr>
              <w:t>USI</w:t>
            </w:r>
          </w:p>
        </w:tc>
      </w:tr>
      <w:tr w:rsidR="008A740C" w:rsidRPr="0075300E" w:rsidTr="005A3855">
        <w:trPr>
          <w:trHeight w:val="900"/>
        </w:trPr>
        <w:tc>
          <w:tcPr>
            <w:tcW w:w="1418" w:type="dxa"/>
            <w:shd w:val="clear" w:color="000000" w:fill="C0C0C0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Domaine concerné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Equipement</w:t>
            </w:r>
          </w:p>
        </w:tc>
        <w:tc>
          <w:tcPr>
            <w:tcW w:w="1143" w:type="dxa"/>
            <w:shd w:val="clear" w:color="000000" w:fill="C0C0C0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Fréquence</w:t>
            </w:r>
          </w:p>
        </w:tc>
        <w:tc>
          <w:tcPr>
            <w:tcW w:w="992" w:type="dxa"/>
            <w:shd w:val="clear" w:color="000000" w:fill="C0C0C0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Gravité</w:t>
            </w:r>
          </w:p>
        </w:tc>
        <w:tc>
          <w:tcPr>
            <w:tcW w:w="1461" w:type="dxa"/>
            <w:shd w:val="clear" w:color="000000" w:fill="C0C0C0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Détectabilité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Criticité (</w:t>
            </w:r>
            <w:proofErr w:type="spellStart"/>
            <w:r w:rsidRPr="00391FE8">
              <w:rPr>
                <w:rFonts w:ascii="Arial" w:hAnsi="Arial" w:cs="Arial"/>
              </w:rPr>
              <w:t>GxFxD</w:t>
            </w:r>
            <w:proofErr w:type="spellEnd"/>
            <w:r w:rsidRPr="00391FE8">
              <w:rPr>
                <w:rFonts w:ascii="Arial" w:hAnsi="Arial" w:cs="Arial"/>
              </w:rPr>
              <w:t>)</w:t>
            </w:r>
          </w:p>
        </w:tc>
      </w:tr>
      <w:tr w:rsidR="008A740C" w:rsidRPr="0075300E" w:rsidTr="005A3855">
        <w:trPr>
          <w:trHeight w:val="560"/>
        </w:trPr>
        <w:tc>
          <w:tcPr>
            <w:tcW w:w="1418" w:type="dxa"/>
            <w:vMerge w:val="restart"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Mélangeur de gaz O2 air</w:t>
            </w:r>
          </w:p>
          <w:p w:rsidR="008A740C" w:rsidRPr="00A55E59" w:rsidRDefault="008A740C" w:rsidP="005A3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A740C" w:rsidRPr="0075300E" w:rsidTr="005A3855">
        <w:trPr>
          <w:trHeight w:val="885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Soulève malade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A740C" w:rsidRPr="0075300E" w:rsidTr="005A3855">
        <w:trPr>
          <w:trHeight w:val="510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Régulateur d’aspiration intermittent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645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Rotamètre O2</w:t>
            </w:r>
          </w:p>
          <w:p w:rsidR="008A740C" w:rsidRPr="00A55E59" w:rsidRDefault="008A740C" w:rsidP="005A3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413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Rotamètre Air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418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Moniteur de SAO2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552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Moniteur image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419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Défibrillateur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411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Electrocardiographe ECG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8A740C" w:rsidRPr="0075300E" w:rsidTr="005A3855">
        <w:trPr>
          <w:trHeight w:val="423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Ventilateur pulmonaire 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8A740C" w:rsidRPr="0075300E" w:rsidTr="005A3855">
        <w:trPr>
          <w:trHeight w:val="273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Unité centrale de traitement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740C" w:rsidRPr="0075300E" w:rsidTr="005A3855">
        <w:trPr>
          <w:trHeight w:val="405"/>
        </w:trPr>
        <w:tc>
          <w:tcPr>
            <w:tcW w:w="1418" w:type="dxa"/>
            <w:vMerge/>
            <w:vAlign w:val="center"/>
          </w:tcPr>
          <w:p w:rsidR="008A740C" w:rsidRPr="00391FE8" w:rsidRDefault="008A740C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740C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Support mobile d’ampli</w:t>
            </w:r>
          </w:p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8A740C" w:rsidRPr="00A55E59" w:rsidRDefault="008A740C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8A740C" w:rsidRDefault="008A740C" w:rsidP="008A740C">
      <w:pPr>
        <w:rPr>
          <w:rFonts w:ascii="Arial" w:hAnsi="Arial" w:cs="Arial"/>
          <w:bCs/>
          <w:i/>
          <w:sz w:val="20"/>
          <w:szCs w:val="20"/>
        </w:rPr>
      </w:pPr>
    </w:p>
    <w:p w:rsidR="00A52EA5" w:rsidRDefault="00A52EA5" w:rsidP="008A74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i/>
          <w:sz w:val="20"/>
          <w:szCs w:val="20"/>
        </w:rPr>
        <w:t>Fig. 19</w:t>
      </w:r>
      <w:r w:rsidRPr="005D1751">
        <w:rPr>
          <w:rFonts w:ascii="Arial" w:hAnsi="Arial" w:cs="Arial"/>
          <w:bCs/>
          <w:i/>
          <w:sz w:val="20"/>
          <w:szCs w:val="20"/>
        </w:rPr>
        <w:t> : Tableau</w:t>
      </w:r>
      <w:r>
        <w:rPr>
          <w:rFonts w:ascii="Arial" w:hAnsi="Arial" w:cs="Arial"/>
          <w:bCs/>
          <w:i/>
          <w:sz w:val="20"/>
          <w:szCs w:val="20"/>
        </w:rPr>
        <w:t xml:space="preserve"> de criticité des DM service d’USI</w:t>
      </w:r>
    </w:p>
    <w:p w:rsidR="00F40E21" w:rsidRDefault="00F40E21" w:rsidP="00F40E21">
      <w:pPr>
        <w:jc w:val="both"/>
        <w:rPr>
          <w:rFonts w:ascii="Arial" w:hAnsi="Arial" w:cs="Arial"/>
          <w:bCs/>
        </w:rPr>
      </w:pPr>
    </w:p>
    <w:sectPr w:rsidR="00F40E21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10E"/>
    <w:rsid w:val="00057D41"/>
    <w:rsid w:val="008A740C"/>
    <w:rsid w:val="00A30847"/>
    <w:rsid w:val="00A52EA5"/>
    <w:rsid w:val="00BB710E"/>
    <w:rsid w:val="00DF2E1D"/>
    <w:rsid w:val="00F4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3</cp:revision>
  <dcterms:created xsi:type="dcterms:W3CDTF">2011-06-19T20:14:00Z</dcterms:created>
  <dcterms:modified xsi:type="dcterms:W3CDTF">2011-06-22T19:45:00Z</dcterms:modified>
</cp:coreProperties>
</file>